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38C" w14:textId="77777777" w:rsidR="00125925" w:rsidRPr="00703526" w:rsidRDefault="00234162" w:rsidP="00125925">
      <w:pPr>
        <w:pStyle w:val="Heading1"/>
        <w:rPr>
          <w:rFonts w:ascii="Century Gothic" w:hAnsi="Century Gothic"/>
          <w:sz w:val="22"/>
        </w:rPr>
      </w:pPr>
      <w:bookmarkStart w:id="0" w:name="_Toc187227725"/>
      <w:bookmarkStart w:id="1" w:name="_Toc187227795"/>
      <w:bookmarkStart w:id="2" w:name="_Toc187227849"/>
      <w:bookmarkStart w:id="3" w:name="_Toc187228775"/>
      <w:r w:rsidRPr="00703526">
        <w:rPr>
          <w:rFonts w:ascii="Century Gothic" w:hAnsi="Century Gothic"/>
          <w:sz w:val="22"/>
        </w:rPr>
        <w:t>Thematic</w:t>
      </w:r>
      <w:r w:rsidR="00125925" w:rsidRPr="00703526">
        <w:rPr>
          <w:rFonts w:ascii="Century Gothic" w:hAnsi="Century Gothic"/>
          <w:sz w:val="22"/>
        </w:rPr>
        <w:t xml:space="preserve"> Issue Publication</w:t>
      </w:r>
      <w:bookmarkEnd w:id="0"/>
      <w:bookmarkEnd w:id="1"/>
      <w:bookmarkEnd w:id="2"/>
      <w:bookmarkEnd w:id="3"/>
      <w:r w:rsidR="00125925" w:rsidRPr="00703526">
        <w:rPr>
          <w:rFonts w:ascii="Century Gothic" w:hAnsi="Century Gothic"/>
          <w:sz w:val="22"/>
        </w:rPr>
        <w:t xml:space="preserve"> </w:t>
      </w:r>
    </w:p>
    <w:p w14:paraId="680B32C6" w14:textId="77777777" w:rsidR="00125925" w:rsidRPr="00703526" w:rsidRDefault="00125925" w:rsidP="00125925">
      <w:pPr>
        <w:jc w:val="both"/>
        <w:rPr>
          <w:rFonts w:ascii="Century Gothic" w:hAnsi="Century Gothic"/>
          <w:b/>
          <w:sz w:val="20"/>
          <w:szCs w:val="20"/>
        </w:rPr>
      </w:pPr>
    </w:p>
    <w:p w14:paraId="10A7CBDF" w14:textId="77777777" w:rsidR="00125925" w:rsidRPr="00703526" w:rsidRDefault="00234162" w:rsidP="00125925">
      <w:p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>Thematic</w:t>
      </w:r>
      <w:r w:rsidR="00125925" w:rsidRPr="00703526">
        <w:rPr>
          <w:rFonts w:ascii="Century Gothic" w:hAnsi="Century Gothic"/>
          <w:sz w:val="20"/>
          <w:szCs w:val="20"/>
        </w:rPr>
        <w:t xml:space="preserve"> issues are normal journal issues but published in addition to the standard journal page &amp; issue budget, hence not part of the regular subscription price. </w:t>
      </w:r>
      <w:r w:rsidR="001A6F4B" w:rsidRPr="00703526">
        <w:rPr>
          <w:rFonts w:ascii="Century Gothic" w:hAnsi="Century Gothic"/>
          <w:sz w:val="20"/>
          <w:szCs w:val="20"/>
        </w:rPr>
        <w:t>They are also citable and contribute to the journal’s impact factor in the same way as any regular (special) issues.</w:t>
      </w:r>
    </w:p>
    <w:p w14:paraId="1044D9BF" w14:textId="77777777" w:rsidR="00125925" w:rsidRPr="00703526" w:rsidRDefault="00125925" w:rsidP="00125925">
      <w:pPr>
        <w:jc w:val="both"/>
        <w:rPr>
          <w:rFonts w:ascii="Century Gothic" w:hAnsi="Century Gothic"/>
          <w:sz w:val="20"/>
          <w:szCs w:val="20"/>
        </w:rPr>
      </w:pPr>
    </w:p>
    <w:p w14:paraId="3C621C8D" w14:textId="77777777" w:rsidR="00877046" w:rsidRPr="00703526" w:rsidRDefault="00125925" w:rsidP="00125925">
      <w:p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The costs of publication for any such issues are covered by </w:t>
      </w:r>
      <w:r w:rsidR="001A6F4B" w:rsidRPr="00703526">
        <w:rPr>
          <w:rFonts w:ascii="Century Gothic" w:hAnsi="Century Gothic"/>
          <w:sz w:val="20"/>
          <w:szCs w:val="20"/>
        </w:rPr>
        <w:t xml:space="preserve">third party </w:t>
      </w:r>
      <w:r w:rsidRPr="00703526">
        <w:rPr>
          <w:rFonts w:ascii="Century Gothic" w:hAnsi="Century Gothic"/>
          <w:sz w:val="20"/>
          <w:szCs w:val="20"/>
        </w:rPr>
        <w:t>sponsors, who can be any universit</w:t>
      </w:r>
      <w:r w:rsidR="00877046" w:rsidRPr="00703526">
        <w:rPr>
          <w:rFonts w:ascii="Century Gothic" w:hAnsi="Century Gothic"/>
          <w:sz w:val="20"/>
          <w:szCs w:val="20"/>
        </w:rPr>
        <w:t>ies</w:t>
      </w:r>
      <w:r w:rsidRPr="00703526">
        <w:rPr>
          <w:rFonts w:ascii="Century Gothic" w:hAnsi="Century Gothic"/>
          <w:sz w:val="20"/>
          <w:szCs w:val="20"/>
        </w:rPr>
        <w:t>, societ</w:t>
      </w:r>
      <w:r w:rsidR="00877046" w:rsidRPr="00703526">
        <w:rPr>
          <w:rFonts w:ascii="Century Gothic" w:hAnsi="Century Gothic"/>
          <w:sz w:val="20"/>
          <w:szCs w:val="20"/>
        </w:rPr>
        <w:t>ies</w:t>
      </w:r>
      <w:r w:rsidRPr="00703526">
        <w:rPr>
          <w:rFonts w:ascii="Century Gothic" w:hAnsi="Century Gothic"/>
          <w:sz w:val="20"/>
          <w:szCs w:val="20"/>
        </w:rPr>
        <w:t>, conference organization</w:t>
      </w:r>
      <w:r w:rsidR="00877046" w:rsidRPr="00703526">
        <w:rPr>
          <w:rFonts w:ascii="Century Gothic" w:hAnsi="Century Gothic"/>
          <w:sz w:val="20"/>
          <w:szCs w:val="20"/>
        </w:rPr>
        <w:t>s</w:t>
      </w:r>
      <w:r w:rsidRPr="00703526">
        <w:rPr>
          <w:rFonts w:ascii="Century Gothic" w:hAnsi="Century Gothic"/>
          <w:sz w:val="20"/>
          <w:szCs w:val="20"/>
        </w:rPr>
        <w:t>, governmental institution</w:t>
      </w:r>
      <w:r w:rsidR="00877046" w:rsidRPr="00703526">
        <w:rPr>
          <w:rFonts w:ascii="Century Gothic" w:hAnsi="Century Gothic"/>
          <w:sz w:val="20"/>
          <w:szCs w:val="20"/>
        </w:rPr>
        <w:t>s</w:t>
      </w:r>
      <w:r w:rsidRPr="00703526">
        <w:rPr>
          <w:rFonts w:ascii="Century Gothic" w:hAnsi="Century Gothic"/>
          <w:sz w:val="20"/>
          <w:szCs w:val="20"/>
        </w:rPr>
        <w:t>, bank</w:t>
      </w:r>
      <w:r w:rsidR="00877046" w:rsidRPr="00703526">
        <w:rPr>
          <w:rFonts w:ascii="Century Gothic" w:hAnsi="Century Gothic"/>
          <w:sz w:val="20"/>
          <w:szCs w:val="20"/>
        </w:rPr>
        <w:t>s</w:t>
      </w:r>
      <w:r w:rsidRPr="00703526">
        <w:rPr>
          <w:rFonts w:ascii="Century Gothic" w:hAnsi="Century Gothic"/>
          <w:sz w:val="20"/>
          <w:szCs w:val="20"/>
        </w:rPr>
        <w:t xml:space="preserve">, financial institutions, </w:t>
      </w:r>
      <w:r w:rsidR="00877046" w:rsidRPr="00703526">
        <w:rPr>
          <w:rFonts w:ascii="Century Gothic" w:hAnsi="Century Gothic"/>
          <w:sz w:val="20"/>
          <w:szCs w:val="20"/>
        </w:rPr>
        <w:t xml:space="preserve">or companies research departments that will have a direct interest in the content to be published. </w:t>
      </w:r>
    </w:p>
    <w:p w14:paraId="1AEE0E7D" w14:textId="77777777" w:rsidR="00877046" w:rsidRPr="00703526" w:rsidRDefault="00877046" w:rsidP="00125925">
      <w:pPr>
        <w:jc w:val="both"/>
        <w:rPr>
          <w:rFonts w:ascii="Century Gothic" w:hAnsi="Century Gothic"/>
          <w:sz w:val="20"/>
          <w:szCs w:val="20"/>
        </w:rPr>
      </w:pPr>
    </w:p>
    <w:p w14:paraId="39AE8CE7" w14:textId="77777777" w:rsidR="00877046" w:rsidRPr="00703526" w:rsidRDefault="00877046" w:rsidP="00125925">
      <w:p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All submissions to </w:t>
      </w:r>
      <w:r w:rsidR="00BB3BC3" w:rsidRPr="00703526">
        <w:rPr>
          <w:rFonts w:ascii="Century Gothic" w:hAnsi="Century Gothic"/>
          <w:sz w:val="20"/>
          <w:szCs w:val="20"/>
        </w:rPr>
        <w:t>thematic</w:t>
      </w:r>
      <w:r w:rsidRPr="00703526">
        <w:rPr>
          <w:rFonts w:ascii="Century Gothic" w:hAnsi="Century Gothic"/>
          <w:sz w:val="20"/>
          <w:szCs w:val="20"/>
        </w:rPr>
        <w:t xml:space="preserve"> issues </w:t>
      </w:r>
      <w:r w:rsidR="00125925" w:rsidRPr="00703526">
        <w:rPr>
          <w:rFonts w:ascii="Century Gothic" w:hAnsi="Century Gothic"/>
          <w:sz w:val="20"/>
          <w:szCs w:val="20"/>
        </w:rPr>
        <w:t xml:space="preserve">are subject to editorial review </w:t>
      </w:r>
      <w:r w:rsidRPr="00703526">
        <w:rPr>
          <w:rFonts w:ascii="Century Gothic" w:hAnsi="Century Gothic"/>
          <w:sz w:val="20"/>
          <w:szCs w:val="20"/>
        </w:rPr>
        <w:t xml:space="preserve">and final publication decision by the </w:t>
      </w:r>
      <w:r w:rsidR="00125925" w:rsidRPr="00703526">
        <w:rPr>
          <w:rFonts w:ascii="Century Gothic" w:hAnsi="Century Gothic"/>
          <w:sz w:val="20"/>
          <w:szCs w:val="20"/>
        </w:rPr>
        <w:t>journal’s editorial board</w:t>
      </w:r>
      <w:r w:rsidRPr="00703526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Pr="00703526">
        <w:rPr>
          <w:rFonts w:ascii="Century Gothic" w:hAnsi="Century Gothic"/>
          <w:sz w:val="20"/>
          <w:szCs w:val="20"/>
        </w:rPr>
        <w:t>in order</w:t>
      </w:r>
      <w:r w:rsidR="00125925" w:rsidRPr="00703526">
        <w:rPr>
          <w:rFonts w:ascii="Century Gothic" w:hAnsi="Century Gothic"/>
          <w:sz w:val="20"/>
          <w:szCs w:val="20"/>
        </w:rPr>
        <w:t xml:space="preserve"> to</w:t>
      </w:r>
      <w:proofErr w:type="gramEnd"/>
      <w:r w:rsidR="00125925" w:rsidRPr="00703526">
        <w:rPr>
          <w:rFonts w:ascii="Century Gothic" w:hAnsi="Century Gothic"/>
          <w:sz w:val="20"/>
          <w:szCs w:val="20"/>
        </w:rPr>
        <w:t xml:space="preserve"> safeguard the scientific quality of the publication. </w:t>
      </w:r>
    </w:p>
    <w:p w14:paraId="78605C4C" w14:textId="77777777" w:rsidR="00877046" w:rsidRPr="00703526" w:rsidRDefault="00877046" w:rsidP="00125925">
      <w:pPr>
        <w:jc w:val="both"/>
        <w:rPr>
          <w:rFonts w:ascii="Century Gothic" w:hAnsi="Century Gothic"/>
          <w:sz w:val="20"/>
          <w:szCs w:val="20"/>
        </w:rPr>
      </w:pPr>
    </w:p>
    <w:p w14:paraId="23C1BC68" w14:textId="77777777" w:rsidR="00125925" w:rsidRPr="00703526" w:rsidRDefault="001A6F4B" w:rsidP="00125925">
      <w:p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These issues are </w:t>
      </w:r>
      <w:r w:rsidR="00125925" w:rsidRPr="00703526">
        <w:rPr>
          <w:rFonts w:ascii="Century Gothic" w:hAnsi="Century Gothic"/>
          <w:sz w:val="20"/>
          <w:szCs w:val="20"/>
        </w:rPr>
        <w:t>edited in the style and format of the parent journal and distributed</w:t>
      </w:r>
      <w:r w:rsidR="00877046" w:rsidRPr="00703526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877046" w:rsidRPr="00703526">
        <w:rPr>
          <w:rFonts w:ascii="Century Gothic" w:hAnsi="Century Gothic"/>
          <w:sz w:val="20"/>
          <w:szCs w:val="20"/>
        </w:rPr>
        <w:t>print</w:t>
      </w:r>
      <w:proofErr w:type="gramEnd"/>
      <w:r w:rsidR="00877046" w:rsidRPr="00703526">
        <w:rPr>
          <w:rFonts w:ascii="Century Gothic" w:hAnsi="Century Gothic"/>
          <w:sz w:val="20"/>
          <w:szCs w:val="20"/>
        </w:rPr>
        <w:t xml:space="preserve"> and online,</w:t>
      </w:r>
      <w:r w:rsidR="00125925" w:rsidRPr="00703526">
        <w:rPr>
          <w:rFonts w:ascii="Century Gothic" w:hAnsi="Century Gothic"/>
          <w:sz w:val="20"/>
          <w:szCs w:val="20"/>
        </w:rPr>
        <w:t xml:space="preserve"> to the same subscribers as the regular issues, at no additional cost for the subscriber. </w:t>
      </w:r>
    </w:p>
    <w:p w14:paraId="5A65B1BA" w14:textId="77777777" w:rsidR="00125925" w:rsidRPr="00703526" w:rsidRDefault="00125925" w:rsidP="00125925">
      <w:pPr>
        <w:jc w:val="both"/>
        <w:rPr>
          <w:rFonts w:ascii="Century Gothic" w:hAnsi="Century Gothic"/>
          <w:sz w:val="20"/>
          <w:szCs w:val="20"/>
        </w:rPr>
      </w:pPr>
    </w:p>
    <w:p w14:paraId="0A602582" w14:textId="77777777" w:rsidR="00125925" w:rsidRPr="00703526" w:rsidRDefault="00877046" w:rsidP="00125925">
      <w:pPr>
        <w:jc w:val="both"/>
        <w:rPr>
          <w:rFonts w:ascii="Century Gothic" w:hAnsi="Century Gothic"/>
          <w:sz w:val="20"/>
          <w:szCs w:val="20"/>
        </w:rPr>
      </w:pPr>
      <w:bookmarkStart w:id="4" w:name="_Toc176172488"/>
      <w:bookmarkStart w:id="5" w:name="_Toc176172545"/>
      <w:bookmarkStart w:id="6" w:name="_Toc176172675"/>
      <w:bookmarkStart w:id="7" w:name="_Toc176248462"/>
      <w:bookmarkStart w:id="8" w:name="_Toc176248757"/>
      <w:bookmarkStart w:id="9" w:name="_Toc176346840"/>
      <w:bookmarkStart w:id="10" w:name="_Toc176346873"/>
      <w:r w:rsidRPr="00703526">
        <w:rPr>
          <w:rFonts w:ascii="Century Gothic" w:hAnsi="Century Gothic"/>
          <w:sz w:val="20"/>
          <w:szCs w:val="20"/>
        </w:rPr>
        <w:t>The t</w:t>
      </w:r>
      <w:r w:rsidR="00125925" w:rsidRPr="00703526">
        <w:rPr>
          <w:rFonts w:ascii="Century Gothic" w:hAnsi="Century Gothic"/>
          <w:sz w:val="20"/>
          <w:szCs w:val="20"/>
        </w:rPr>
        <w:t>ypical content</w:t>
      </w:r>
      <w:bookmarkEnd w:id="4"/>
      <w:bookmarkEnd w:id="5"/>
      <w:bookmarkEnd w:id="6"/>
      <w:bookmarkEnd w:id="7"/>
      <w:bookmarkEnd w:id="8"/>
      <w:bookmarkEnd w:id="9"/>
      <w:bookmarkEnd w:id="10"/>
      <w:r w:rsidR="00125925" w:rsidRPr="00703526">
        <w:rPr>
          <w:rFonts w:ascii="Century Gothic" w:hAnsi="Century Gothic"/>
          <w:sz w:val="20"/>
          <w:szCs w:val="20"/>
        </w:rPr>
        <w:t xml:space="preserve"> </w:t>
      </w:r>
      <w:r w:rsidRPr="00703526">
        <w:rPr>
          <w:rFonts w:ascii="Century Gothic" w:hAnsi="Century Gothic"/>
          <w:sz w:val="20"/>
          <w:szCs w:val="20"/>
        </w:rPr>
        <w:t xml:space="preserve">for a </w:t>
      </w:r>
      <w:r w:rsidR="00BB3BC3" w:rsidRPr="00703526">
        <w:rPr>
          <w:rFonts w:ascii="Century Gothic" w:hAnsi="Century Gothic"/>
          <w:sz w:val="20"/>
          <w:szCs w:val="20"/>
        </w:rPr>
        <w:t>thematic</w:t>
      </w:r>
      <w:r w:rsidRPr="00703526">
        <w:rPr>
          <w:rFonts w:ascii="Century Gothic" w:hAnsi="Century Gothic"/>
          <w:sz w:val="20"/>
          <w:szCs w:val="20"/>
        </w:rPr>
        <w:t xml:space="preserve"> issue is the same as for any journal special issue, ranging from review articles to conference full proceedings or best papers, conference</w:t>
      </w:r>
      <w:r w:rsidR="00125925" w:rsidRPr="00703526">
        <w:rPr>
          <w:rFonts w:ascii="Century Gothic" w:hAnsi="Century Gothic"/>
          <w:sz w:val="20"/>
          <w:szCs w:val="20"/>
        </w:rPr>
        <w:t xml:space="preserve"> abstracts, </w:t>
      </w:r>
      <w:r w:rsidRPr="00703526">
        <w:rPr>
          <w:rFonts w:ascii="Century Gothic" w:hAnsi="Century Gothic"/>
          <w:sz w:val="20"/>
          <w:szCs w:val="20"/>
        </w:rPr>
        <w:t>guidelines, consensus me</w:t>
      </w:r>
      <w:r w:rsidR="00125925" w:rsidRPr="00703526">
        <w:rPr>
          <w:rFonts w:ascii="Century Gothic" w:hAnsi="Century Gothic"/>
          <w:sz w:val="20"/>
          <w:szCs w:val="20"/>
        </w:rPr>
        <w:t>etings results, or any other thematic content</w:t>
      </w:r>
      <w:bookmarkStart w:id="11" w:name="_Toc176172489"/>
      <w:bookmarkStart w:id="12" w:name="_Toc176172546"/>
      <w:bookmarkStart w:id="13" w:name="_Toc176172676"/>
      <w:bookmarkStart w:id="14" w:name="_Toc176248463"/>
      <w:bookmarkStart w:id="15" w:name="_Toc176248758"/>
      <w:bookmarkStart w:id="16" w:name="_Toc176346841"/>
      <w:bookmarkStart w:id="17" w:name="_Toc176346874"/>
      <w:r w:rsidR="00125925" w:rsidRPr="00703526">
        <w:rPr>
          <w:rFonts w:ascii="Century Gothic" w:hAnsi="Century Gothic"/>
          <w:sz w:val="20"/>
          <w:szCs w:val="20"/>
        </w:rPr>
        <w:t>.</w:t>
      </w:r>
    </w:p>
    <w:p w14:paraId="258BA626" w14:textId="77777777" w:rsidR="00125925" w:rsidRPr="00703526" w:rsidRDefault="00125925" w:rsidP="00125925">
      <w:pPr>
        <w:jc w:val="both"/>
        <w:rPr>
          <w:rFonts w:ascii="Century Gothic" w:hAnsi="Century Gothic"/>
          <w:sz w:val="20"/>
          <w:szCs w:val="20"/>
        </w:rPr>
      </w:pPr>
    </w:p>
    <w:bookmarkEnd w:id="11"/>
    <w:bookmarkEnd w:id="12"/>
    <w:bookmarkEnd w:id="13"/>
    <w:bookmarkEnd w:id="14"/>
    <w:bookmarkEnd w:id="15"/>
    <w:bookmarkEnd w:id="16"/>
    <w:bookmarkEnd w:id="17"/>
    <w:p w14:paraId="7971C2F0" w14:textId="77777777" w:rsidR="00125925" w:rsidRPr="00703526" w:rsidRDefault="00125925" w:rsidP="00125925">
      <w:pPr>
        <w:pStyle w:val="NormalIndent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703526">
        <w:rPr>
          <w:rFonts w:ascii="Century Gothic" w:hAnsi="Century Gothic"/>
          <w:b/>
          <w:sz w:val="20"/>
          <w:szCs w:val="20"/>
        </w:rPr>
        <w:t>Journal Key Benefits:</w:t>
      </w:r>
    </w:p>
    <w:p w14:paraId="1C5067CD" w14:textId="77777777" w:rsidR="00125925" w:rsidRPr="00703526" w:rsidRDefault="00125925" w:rsidP="001259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Delivering </w:t>
      </w:r>
      <w:r w:rsidRPr="00703526">
        <w:rPr>
          <w:rFonts w:ascii="Century Gothic" w:hAnsi="Century Gothic"/>
          <w:i/>
          <w:sz w:val="20"/>
          <w:szCs w:val="20"/>
        </w:rPr>
        <w:t>more content to subscribers at no additional charge</w:t>
      </w:r>
    </w:p>
    <w:p w14:paraId="53AAEBA1" w14:textId="77777777" w:rsidR="00125925" w:rsidRPr="00703526" w:rsidRDefault="00125925" w:rsidP="001259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i/>
          <w:sz w:val="20"/>
          <w:szCs w:val="20"/>
        </w:rPr>
        <w:t>Rapid</w:t>
      </w:r>
      <w:r w:rsidRPr="00703526">
        <w:rPr>
          <w:rFonts w:ascii="Century Gothic" w:hAnsi="Century Gothic"/>
          <w:sz w:val="20"/>
          <w:szCs w:val="20"/>
        </w:rPr>
        <w:t xml:space="preserve"> </w:t>
      </w:r>
      <w:r w:rsidRPr="00703526">
        <w:rPr>
          <w:rFonts w:ascii="Century Gothic" w:hAnsi="Century Gothic"/>
          <w:i/>
          <w:sz w:val="20"/>
          <w:szCs w:val="20"/>
        </w:rPr>
        <w:t>publication</w:t>
      </w:r>
      <w:r w:rsidRPr="00703526">
        <w:rPr>
          <w:rFonts w:ascii="Century Gothic" w:hAnsi="Century Gothic"/>
          <w:sz w:val="20"/>
          <w:szCs w:val="20"/>
        </w:rPr>
        <w:t xml:space="preserve">: </w:t>
      </w:r>
      <w:r w:rsidR="001A6F4B" w:rsidRPr="00703526">
        <w:rPr>
          <w:rFonts w:ascii="Century Gothic" w:hAnsi="Century Gothic"/>
          <w:sz w:val="20"/>
          <w:szCs w:val="20"/>
        </w:rPr>
        <w:t>issue</w:t>
      </w:r>
      <w:r w:rsidRPr="00703526">
        <w:rPr>
          <w:rFonts w:ascii="Century Gothic" w:hAnsi="Century Gothic"/>
          <w:sz w:val="20"/>
          <w:szCs w:val="20"/>
        </w:rPr>
        <w:t xml:space="preserve"> can be published immediately after receipt of the complete accepted manuscript</w:t>
      </w:r>
      <w:r w:rsidR="001A6F4B" w:rsidRPr="00703526">
        <w:rPr>
          <w:rFonts w:ascii="Century Gothic" w:hAnsi="Century Gothic"/>
          <w:sz w:val="20"/>
          <w:szCs w:val="20"/>
        </w:rPr>
        <w:t>s</w:t>
      </w:r>
      <w:r w:rsidRPr="00703526">
        <w:rPr>
          <w:rFonts w:ascii="Century Gothic" w:hAnsi="Century Gothic"/>
          <w:sz w:val="20"/>
          <w:szCs w:val="20"/>
        </w:rPr>
        <w:t>, taking only production times into consideration</w:t>
      </w:r>
    </w:p>
    <w:p w14:paraId="5F1E5641" w14:textId="77777777" w:rsidR="00125925" w:rsidRPr="00703526" w:rsidRDefault="00125925" w:rsidP="001259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i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Continuity in </w:t>
      </w:r>
      <w:r w:rsidRPr="00703526">
        <w:rPr>
          <w:rFonts w:ascii="Century Gothic" w:hAnsi="Century Gothic"/>
          <w:i/>
          <w:sz w:val="20"/>
          <w:szCs w:val="20"/>
        </w:rPr>
        <w:t>citations</w:t>
      </w:r>
      <w:r w:rsidRPr="00703526">
        <w:rPr>
          <w:rFonts w:ascii="Century Gothic" w:hAnsi="Century Gothic"/>
          <w:sz w:val="20"/>
          <w:szCs w:val="20"/>
        </w:rPr>
        <w:t xml:space="preserve"> resulting in increasing </w:t>
      </w:r>
      <w:r w:rsidRPr="00703526">
        <w:rPr>
          <w:rFonts w:ascii="Century Gothic" w:hAnsi="Century Gothic"/>
          <w:i/>
          <w:sz w:val="20"/>
          <w:szCs w:val="20"/>
        </w:rPr>
        <w:t>impact factor</w:t>
      </w:r>
    </w:p>
    <w:p w14:paraId="29DFE27E" w14:textId="77777777" w:rsidR="00125925" w:rsidRPr="00703526" w:rsidRDefault="00877046" w:rsidP="0012592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Additional </w:t>
      </w:r>
      <w:r w:rsidR="00125925" w:rsidRPr="00703526">
        <w:rPr>
          <w:rFonts w:ascii="Century Gothic" w:hAnsi="Century Gothic"/>
          <w:i/>
          <w:sz w:val="20"/>
          <w:szCs w:val="20"/>
        </w:rPr>
        <w:t>marketing</w:t>
      </w:r>
      <w:r w:rsidR="00125925" w:rsidRPr="00703526">
        <w:rPr>
          <w:rFonts w:ascii="Century Gothic" w:hAnsi="Century Gothic"/>
          <w:sz w:val="20"/>
          <w:szCs w:val="20"/>
        </w:rPr>
        <w:t xml:space="preserve"> via </w:t>
      </w:r>
      <w:r w:rsidRPr="00703526">
        <w:rPr>
          <w:rFonts w:ascii="Century Gothic" w:hAnsi="Century Gothic"/>
          <w:sz w:val="20"/>
          <w:szCs w:val="20"/>
        </w:rPr>
        <w:t xml:space="preserve">sponsor </w:t>
      </w:r>
      <w:r w:rsidR="00125925" w:rsidRPr="00703526">
        <w:rPr>
          <w:rFonts w:ascii="Century Gothic" w:hAnsi="Century Gothic"/>
          <w:sz w:val="20"/>
          <w:szCs w:val="20"/>
        </w:rPr>
        <w:t xml:space="preserve">broader dissemination </w:t>
      </w:r>
    </w:p>
    <w:p w14:paraId="0D00BE50" w14:textId="77777777" w:rsidR="00125925" w:rsidRPr="00703526" w:rsidRDefault="00125925" w:rsidP="001259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i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Opportunities to attract </w:t>
      </w:r>
      <w:r w:rsidRPr="00703526">
        <w:rPr>
          <w:rFonts w:ascii="Century Gothic" w:hAnsi="Century Gothic"/>
          <w:i/>
          <w:sz w:val="20"/>
          <w:szCs w:val="20"/>
        </w:rPr>
        <w:t xml:space="preserve">more </w:t>
      </w:r>
      <w:proofErr w:type="gramStart"/>
      <w:r w:rsidRPr="00703526">
        <w:rPr>
          <w:rFonts w:ascii="Century Gothic" w:hAnsi="Century Gothic"/>
          <w:i/>
          <w:sz w:val="20"/>
          <w:szCs w:val="20"/>
        </w:rPr>
        <w:t>high quality</w:t>
      </w:r>
      <w:proofErr w:type="gramEnd"/>
      <w:r w:rsidRPr="00703526">
        <w:rPr>
          <w:rFonts w:ascii="Century Gothic" w:hAnsi="Century Gothic"/>
          <w:i/>
          <w:sz w:val="20"/>
          <w:szCs w:val="20"/>
        </w:rPr>
        <w:t xml:space="preserve"> material</w:t>
      </w:r>
      <w:r w:rsidRPr="00703526">
        <w:rPr>
          <w:rFonts w:ascii="Century Gothic" w:hAnsi="Century Gothic"/>
          <w:sz w:val="20"/>
          <w:szCs w:val="20"/>
        </w:rPr>
        <w:t xml:space="preserve"> to a journal that might have a limited page publication budget </w:t>
      </w:r>
    </w:p>
    <w:p w14:paraId="7091C1ED" w14:textId="77777777" w:rsidR="00125925" w:rsidRPr="00703526" w:rsidRDefault="00125925" w:rsidP="00125925">
      <w:pPr>
        <w:pStyle w:val="NormalIndent"/>
        <w:ind w:left="0"/>
        <w:jc w:val="both"/>
        <w:rPr>
          <w:rFonts w:ascii="Century Gothic" w:hAnsi="Century Gothic"/>
          <w:b/>
          <w:bCs/>
          <w:sz w:val="20"/>
        </w:rPr>
      </w:pPr>
      <w:bookmarkStart w:id="18" w:name="_Toc179347849"/>
      <w:bookmarkStart w:id="19" w:name="_Toc176346875"/>
      <w:bookmarkStart w:id="20" w:name="_Toc176346842"/>
      <w:bookmarkStart w:id="21" w:name="_Toc176248759"/>
      <w:bookmarkStart w:id="22" w:name="_Toc176248464"/>
      <w:bookmarkStart w:id="23" w:name="_Toc176172677"/>
      <w:bookmarkStart w:id="24" w:name="_Toc176172547"/>
      <w:bookmarkStart w:id="25" w:name="_Toc176172490"/>
    </w:p>
    <w:p w14:paraId="22C98A26" w14:textId="77777777" w:rsidR="00125925" w:rsidRPr="00703526" w:rsidRDefault="00234162" w:rsidP="00125925">
      <w:pPr>
        <w:pStyle w:val="NormalIndent"/>
        <w:ind w:left="0"/>
        <w:jc w:val="both"/>
        <w:rPr>
          <w:rFonts w:ascii="Century Gothic" w:hAnsi="Century Gothic"/>
          <w:b/>
          <w:bCs/>
          <w:sz w:val="20"/>
        </w:rPr>
      </w:pPr>
      <w:r w:rsidRPr="00703526">
        <w:rPr>
          <w:rFonts w:ascii="Century Gothic" w:hAnsi="Century Gothic"/>
          <w:b/>
          <w:bCs/>
          <w:sz w:val="20"/>
        </w:rPr>
        <w:t>Thematic</w:t>
      </w:r>
      <w:r w:rsidR="00125925" w:rsidRPr="00703526">
        <w:rPr>
          <w:rFonts w:ascii="Century Gothic" w:hAnsi="Century Gothic"/>
          <w:b/>
          <w:bCs/>
          <w:sz w:val="20"/>
        </w:rPr>
        <w:t xml:space="preserve"> Key Benefits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125925" w:rsidRPr="00703526">
        <w:rPr>
          <w:rFonts w:ascii="Century Gothic" w:hAnsi="Century Gothic"/>
          <w:b/>
          <w:bCs/>
          <w:sz w:val="20"/>
        </w:rPr>
        <w:t>:</w:t>
      </w:r>
    </w:p>
    <w:p w14:paraId="28C5A0C2" w14:textId="77777777" w:rsidR="00125925" w:rsidRPr="00703526" w:rsidRDefault="00125925" w:rsidP="00125925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smartTag w:uri="urn:schemas-microsoft-com:office:smarttags" w:element="place">
        <w:r w:rsidRPr="00703526">
          <w:rPr>
            <w:rFonts w:ascii="Century Gothic" w:hAnsi="Century Gothic"/>
            <w:sz w:val="20"/>
            <w:szCs w:val="20"/>
          </w:rPr>
          <w:t>Opportunity</w:t>
        </w:r>
      </w:smartTag>
      <w:r w:rsidRPr="00703526">
        <w:rPr>
          <w:rFonts w:ascii="Century Gothic" w:hAnsi="Century Gothic"/>
          <w:sz w:val="20"/>
          <w:szCs w:val="20"/>
        </w:rPr>
        <w:t xml:space="preserve"> to reach more </w:t>
      </w:r>
      <w:r w:rsidRPr="00703526">
        <w:rPr>
          <w:rFonts w:ascii="Century Gothic" w:hAnsi="Century Gothic"/>
          <w:i/>
          <w:sz w:val="20"/>
          <w:szCs w:val="20"/>
        </w:rPr>
        <w:t>exposure</w:t>
      </w:r>
      <w:r w:rsidRPr="00703526">
        <w:rPr>
          <w:rFonts w:ascii="Century Gothic" w:hAnsi="Century Gothic"/>
          <w:sz w:val="20"/>
          <w:szCs w:val="20"/>
        </w:rPr>
        <w:t xml:space="preserve"> to a targeted scientific audience</w:t>
      </w:r>
    </w:p>
    <w:p w14:paraId="40B4FADC" w14:textId="77777777" w:rsidR="00125925" w:rsidRPr="00703526" w:rsidRDefault="00125925" w:rsidP="00125925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Sponsoring and/or publication of research material in association with the brand name of a </w:t>
      </w:r>
      <w:r w:rsidRPr="00703526">
        <w:rPr>
          <w:rFonts w:ascii="Century Gothic" w:hAnsi="Century Gothic"/>
          <w:i/>
          <w:iCs/>
          <w:sz w:val="20"/>
          <w:szCs w:val="20"/>
        </w:rPr>
        <w:t>prestigious</w:t>
      </w:r>
      <w:r w:rsidRPr="00703526">
        <w:rPr>
          <w:rFonts w:ascii="Century Gothic" w:hAnsi="Century Gothic"/>
          <w:sz w:val="20"/>
          <w:szCs w:val="20"/>
        </w:rPr>
        <w:t xml:space="preserve"> journal</w:t>
      </w:r>
    </w:p>
    <w:p w14:paraId="7A088F3A" w14:textId="77777777" w:rsidR="00125925" w:rsidRPr="00703526" w:rsidRDefault="00125925" w:rsidP="00125925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Content approved and </w:t>
      </w:r>
      <w:r w:rsidRPr="00703526">
        <w:rPr>
          <w:rFonts w:ascii="Century Gothic" w:hAnsi="Century Gothic"/>
          <w:i/>
          <w:iCs/>
          <w:sz w:val="20"/>
          <w:szCs w:val="20"/>
        </w:rPr>
        <w:t>endorsed</w:t>
      </w:r>
      <w:r w:rsidRPr="00703526">
        <w:rPr>
          <w:rFonts w:ascii="Century Gothic" w:hAnsi="Century Gothic"/>
          <w:sz w:val="20"/>
          <w:szCs w:val="20"/>
        </w:rPr>
        <w:t xml:space="preserve"> by the journal's editor(s)</w:t>
      </w:r>
    </w:p>
    <w:p w14:paraId="356BA4F3" w14:textId="77777777" w:rsidR="00125925" w:rsidRPr="00703526" w:rsidRDefault="00125925" w:rsidP="00125925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i/>
          <w:iCs/>
          <w:sz w:val="20"/>
          <w:szCs w:val="20"/>
        </w:rPr>
        <w:t>Rapid</w:t>
      </w:r>
      <w:r w:rsidRPr="00703526">
        <w:rPr>
          <w:rFonts w:ascii="Century Gothic" w:hAnsi="Century Gothic"/>
          <w:sz w:val="20"/>
          <w:szCs w:val="20"/>
        </w:rPr>
        <w:t xml:space="preserve"> publication </w:t>
      </w:r>
    </w:p>
    <w:p w14:paraId="7DA3C1EF" w14:textId="77777777" w:rsidR="00125925" w:rsidRPr="00703526" w:rsidRDefault="00125925" w:rsidP="00125925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i/>
          <w:iCs/>
          <w:sz w:val="20"/>
          <w:szCs w:val="20"/>
        </w:rPr>
        <w:t>Circulated</w:t>
      </w:r>
      <w:r w:rsidRPr="00703526">
        <w:rPr>
          <w:rFonts w:ascii="Century Gothic" w:hAnsi="Century Gothic"/>
          <w:sz w:val="20"/>
          <w:szCs w:val="20"/>
        </w:rPr>
        <w:t xml:space="preserve"> to all journal subscribers, including </w:t>
      </w:r>
      <w:proofErr w:type="gramStart"/>
      <w:r w:rsidRPr="00703526">
        <w:rPr>
          <w:rFonts w:ascii="Century Gothic" w:hAnsi="Century Gothic"/>
          <w:sz w:val="20"/>
          <w:szCs w:val="20"/>
        </w:rPr>
        <w:t>libraries</w:t>
      </w:r>
      <w:proofErr w:type="gramEnd"/>
      <w:r w:rsidRPr="00703526">
        <w:rPr>
          <w:rFonts w:ascii="Century Gothic" w:hAnsi="Century Gothic"/>
          <w:sz w:val="20"/>
          <w:szCs w:val="20"/>
        </w:rPr>
        <w:t xml:space="preserve"> and indexing services, thus highest level of visibility guaranteed</w:t>
      </w:r>
      <w:r w:rsidRPr="00703526">
        <w:rPr>
          <w:rFonts w:ascii="Century Gothic" w:hAnsi="Century Gothic"/>
          <w:b/>
          <w:sz w:val="20"/>
          <w:szCs w:val="20"/>
        </w:rPr>
        <w:t xml:space="preserve">  </w:t>
      </w:r>
    </w:p>
    <w:p w14:paraId="0E53EEDB" w14:textId="77777777" w:rsidR="00D53B18" w:rsidRPr="00703526" w:rsidRDefault="00125925" w:rsidP="00125925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 xml:space="preserve">Extension of sponsor’s communication channels via </w:t>
      </w:r>
      <w:hyperlink r:id="rId5" w:history="1">
        <w:r w:rsidRPr="00703526">
          <w:rPr>
            <w:rStyle w:val="Hyperlink"/>
            <w:i/>
            <w:iCs/>
            <w:color w:val="auto"/>
            <w:sz w:val="20"/>
            <w:szCs w:val="20"/>
          </w:rPr>
          <w:t xml:space="preserve"> ScienceDirect®</w:t>
        </w:r>
      </w:hyperlink>
      <w:r w:rsidRPr="00703526">
        <w:rPr>
          <w:rFonts w:ascii="Century Gothic" w:hAnsi="Century Gothic"/>
          <w:sz w:val="20"/>
          <w:szCs w:val="20"/>
        </w:rPr>
        <w:t xml:space="preserve"> </w:t>
      </w:r>
    </w:p>
    <w:p w14:paraId="44FEF2F1" w14:textId="77777777" w:rsidR="00D53B18" w:rsidRPr="00703526" w:rsidRDefault="00D53B18" w:rsidP="00D53B18">
      <w:pPr>
        <w:jc w:val="both"/>
        <w:rPr>
          <w:rFonts w:ascii="Century Gothic" w:hAnsi="Century Gothic"/>
          <w:sz w:val="20"/>
          <w:szCs w:val="20"/>
        </w:rPr>
      </w:pPr>
    </w:p>
    <w:p w14:paraId="03BAE7EA" w14:textId="77777777" w:rsidR="00D53B18" w:rsidRPr="00703526" w:rsidRDefault="00D53B18" w:rsidP="00D53B18">
      <w:pPr>
        <w:jc w:val="both"/>
        <w:rPr>
          <w:rFonts w:ascii="Century Gothic" w:hAnsi="Century Gothic"/>
          <w:sz w:val="20"/>
          <w:szCs w:val="20"/>
        </w:rPr>
      </w:pPr>
      <w:r w:rsidRPr="00703526">
        <w:rPr>
          <w:rFonts w:ascii="Century Gothic" w:hAnsi="Century Gothic"/>
          <w:sz w:val="20"/>
          <w:szCs w:val="20"/>
        </w:rPr>
        <w:t>If you are interested in publishing or sponsoring such an issue, or if you have any further questions, please contact:</w:t>
      </w:r>
    </w:p>
    <w:p w14:paraId="345F9FC0" w14:textId="77777777" w:rsidR="00D53B18" w:rsidRPr="00703526" w:rsidRDefault="00D53B18" w:rsidP="00D53B18">
      <w:pPr>
        <w:jc w:val="both"/>
        <w:rPr>
          <w:rFonts w:ascii="Century Gothic" w:hAnsi="Century Gothic"/>
          <w:sz w:val="20"/>
          <w:szCs w:val="20"/>
        </w:rPr>
      </w:pPr>
    </w:p>
    <w:p w14:paraId="538054E0" w14:textId="77777777" w:rsidR="00234162" w:rsidRPr="00703526" w:rsidRDefault="00234162" w:rsidP="00234162">
      <w:pPr>
        <w:pStyle w:val="xmsonormal"/>
      </w:pPr>
      <w:r w:rsidRPr="00703526">
        <w:rPr>
          <w:lang w:val="de-DE"/>
        </w:rPr>
        <w:t>Dr. Tanur Sinha</w:t>
      </w:r>
    </w:p>
    <w:p w14:paraId="7D450431" w14:textId="77777777" w:rsidR="00234162" w:rsidRPr="00703526" w:rsidRDefault="00234162" w:rsidP="00234162">
      <w:pPr>
        <w:pStyle w:val="xmsonormal"/>
      </w:pPr>
      <w:r w:rsidRPr="00703526">
        <w:rPr>
          <w:lang w:val="de-DE"/>
        </w:rPr>
        <w:t xml:space="preserve">Publisher, High Energy Physics </w:t>
      </w:r>
    </w:p>
    <w:p w14:paraId="5BBEBE71" w14:textId="77777777" w:rsidR="00234162" w:rsidRPr="00703526" w:rsidRDefault="00234162" w:rsidP="00234162">
      <w:pPr>
        <w:pStyle w:val="xmsonormal"/>
      </w:pPr>
      <w:r w:rsidRPr="00703526">
        <w:rPr>
          <w:b/>
          <w:bCs/>
          <w:lang w:val="de-DE"/>
        </w:rPr>
        <w:t>ELSEVIER</w:t>
      </w:r>
    </w:p>
    <w:p w14:paraId="3F9CCB98" w14:textId="77777777" w:rsidR="00234162" w:rsidRPr="00703526" w:rsidRDefault="00234162" w:rsidP="00234162">
      <w:pPr>
        <w:pStyle w:val="xmsonormal"/>
      </w:pPr>
      <w:r w:rsidRPr="00703526">
        <w:rPr>
          <w:lang w:val="de-DE"/>
        </w:rPr>
        <w:t>The Blvd | OX5 1GB Kidlington, Oxford| The UK</w:t>
      </w:r>
    </w:p>
    <w:p w14:paraId="7D3B5830" w14:textId="77777777" w:rsidR="00234162" w:rsidRPr="00703526" w:rsidRDefault="00234162" w:rsidP="00234162">
      <w:pPr>
        <w:pStyle w:val="xmsonormal"/>
      </w:pPr>
      <w:r w:rsidRPr="00703526">
        <w:rPr>
          <w:lang w:val="de-DE"/>
        </w:rPr>
        <w:t xml:space="preserve">M: </w:t>
      </w:r>
      <w:r w:rsidRPr="00703526">
        <w:rPr>
          <w:lang w:val="en-US"/>
        </w:rPr>
        <w:t>+</w:t>
      </w:r>
      <w:r w:rsidRPr="00703526">
        <w:t>44 7721652835</w:t>
      </w:r>
    </w:p>
    <w:p w14:paraId="68B31EB3" w14:textId="77777777" w:rsidR="00234162" w:rsidRPr="00703526" w:rsidRDefault="00234162" w:rsidP="00234162">
      <w:pPr>
        <w:pStyle w:val="xmsonormal"/>
      </w:pPr>
      <w:r w:rsidRPr="00703526">
        <w:rPr>
          <w:lang w:val="de-DE"/>
        </w:rPr>
        <w:t xml:space="preserve">E:  </w:t>
      </w:r>
      <w:hyperlink r:id="rId6" w:history="1">
        <w:r w:rsidRPr="00703526">
          <w:rPr>
            <w:rStyle w:val="Hyperlink"/>
            <w:color w:val="auto"/>
            <w:lang w:val="de-DE"/>
          </w:rPr>
          <w:t>t.sinha@elsevier.com</w:t>
        </w:r>
      </w:hyperlink>
    </w:p>
    <w:p w14:paraId="3AAD9D35" w14:textId="77777777" w:rsidR="00234162" w:rsidRPr="00703526" w:rsidRDefault="00234162" w:rsidP="00234162">
      <w:pPr>
        <w:pStyle w:val="xmsonormal"/>
      </w:pPr>
      <w:r w:rsidRPr="00703526">
        <w:rPr>
          <w:lang w:val="en"/>
        </w:rPr>
        <w:t>Twitter- @sinha_tanur</w:t>
      </w:r>
    </w:p>
    <w:p w14:paraId="3174CE79" w14:textId="77777777" w:rsidR="00D53B18" w:rsidRPr="00703526" w:rsidRDefault="00D53B18" w:rsidP="00D53B18">
      <w:pPr>
        <w:pStyle w:val="a"/>
        <w:tabs>
          <w:tab w:val="left" w:pos="-488"/>
          <w:tab w:val="left" w:pos="0"/>
        </w:tabs>
        <w:ind w:left="0" w:firstLine="0"/>
        <w:rPr>
          <w:rFonts w:ascii="Century Gothic" w:hAnsi="Century Gothic"/>
          <w:sz w:val="20"/>
        </w:rPr>
      </w:pPr>
    </w:p>
    <w:sectPr w:rsidR="00D53B18" w:rsidRPr="00703526" w:rsidSect="00D53B18">
      <w:pgSz w:w="11907" w:h="16840" w:code="9"/>
      <w:pgMar w:top="1247" w:right="1247" w:bottom="107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402"/>
    <w:multiLevelType w:val="hybridMultilevel"/>
    <w:tmpl w:val="01CAE954"/>
    <w:lvl w:ilvl="0" w:tplc="E6B08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CCD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1F1A9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A5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43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0A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D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8A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2B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B13"/>
    <w:multiLevelType w:val="hybridMultilevel"/>
    <w:tmpl w:val="4C18A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9249C"/>
    <w:multiLevelType w:val="hybridMultilevel"/>
    <w:tmpl w:val="800231E6"/>
    <w:lvl w:ilvl="0" w:tplc="E9B8F3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0B5CAA"/>
    <w:multiLevelType w:val="hybridMultilevel"/>
    <w:tmpl w:val="5D98124E"/>
    <w:lvl w:ilvl="0" w:tplc="A132A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E3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2E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22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29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66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E6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28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2D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3EC5"/>
    <w:multiLevelType w:val="hybridMultilevel"/>
    <w:tmpl w:val="B080B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C0E80"/>
    <w:multiLevelType w:val="hybridMultilevel"/>
    <w:tmpl w:val="DA768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57142"/>
    <w:multiLevelType w:val="hybridMultilevel"/>
    <w:tmpl w:val="990853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43310"/>
    <w:multiLevelType w:val="hybridMultilevel"/>
    <w:tmpl w:val="46220A1A"/>
    <w:lvl w:ilvl="0" w:tplc="040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num w:numId="1" w16cid:durableId="493685369">
    <w:abstractNumId w:val="6"/>
  </w:num>
  <w:num w:numId="2" w16cid:durableId="1732121577">
    <w:abstractNumId w:val="2"/>
  </w:num>
  <w:num w:numId="3" w16cid:durableId="117071975">
    <w:abstractNumId w:val="4"/>
  </w:num>
  <w:num w:numId="4" w16cid:durableId="219680007">
    <w:abstractNumId w:val="7"/>
  </w:num>
  <w:num w:numId="5" w16cid:durableId="77407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215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0680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75930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25"/>
    <w:rsid w:val="00125925"/>
    <w:rsid w:val="00191780"/>
    <w:rsid w:val="001A6F4B"/>
    <w:rsid w:val="00234162"/>
    <w:rsid w:val="002F60A0"/>
    <w:rsid w:val="00617D8D"/>
    <w:rsid w:val="00703526"/>
    <w:rsid w:val="00877046"/>
    <w:rsid w:val="00AA639B"/>
    <w:rsid w:val="00BB3BC3"/>
    <w:rsid w:val="00CD7990"/>
    <w:rsid w:val="00CE36A6"/>
    <w:rsid w:val="00CF3A48"/>
    <w:rsid w:val="00D53B18"/>
    <w:rsid w:val="00D61D4C"/>
    <w:rsid w:val="00E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26BC5EB"/>
  <w15:chartTrackingRefBased/>
  <w15:docId w15:val="{953722C6-30DF-4333-8F92-D9ADAC59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9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5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25925"/>
    <w:pPr>
      <w:keepNext/>
      <w:tabs>
        <w:tab w:val="left" w:pos="-360"/>
        <w:tab w:val="left" w:pos="1134"/>
        <w:tab w:val="left" w:pos="9498"/>
      </w:tabs>
      <w:ind w:right="-514" w:hanging="360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rsid w:val="00125925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  <w:snapToGrid w:val="0"/>
      <w:sz w:val="4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25925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Header">
    <w:name w:val="header"/>
    <w:basedOn w:val="Normal"/>
    <w:rsid w:val="0012592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25925"/>
    <w:pPr>
      <w:widowControl w:val="0"/>
      <w:spacing w:line="236" w:lineRule="auto"/>
      <w:jc w:val="both"/>
    </w:pPr>
    <w:rPr>
      <w:b/>
      <w:snapToGrid w:val="0"/>
      <w:sz w:val="20"/>
      <w:szCs w:val="20"/>
    </w:rPr>
  </w:style>
  <w:style w:type="character" w:styleId="Hyperlink">
    <w:name w:val="Hyperlink"/>
    <w:rsid w:val="00125925"/>
    <w:rPr>
      <w:color w:val="0000FF"/>
      <w:u w:val="single"/>
    </w:rPr>
  </w:style>
  <w:style w:type="paragraph" w:styleId="NormalIndent">
    <w:name w:val="Normal Indent"/>
    <w:basedOn w:val="Normal"/>
    <w:rsid w:val="00125925"/>
    <w:pPr>
      <w:ind w:left="720"/>
    </w:pPr>
    <w:rPr>
      <w:lang w:val="en-GB"/>
    </w:rPr>
  </w:style>
  <w:style w:type="paragraph" w:styleId="Footer">
    <w:name w:val="footer"/>
    <w:basedOn w:val="Normal"/>
    <w:rsid w:val="00D53B18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_"/>
    <w:basedOn w:val="Normal"/>
    <w:rsid w:val="00D53B18"/>
    <w:pPr>
      <w:widowControl w:val="0"/>
      <w:ind w:left="596" w:hanging="596"/>
    </w:pPr>
    <w:rPr>
      <w:rFonts w:ascii="Courier" w:hAnsi="Courier"/>
      <w:snapToGrid w:val="0"/>
      <w:szCs w:val="20"/>
    </w:rPr>
  </w:style>
  <w:style w:type="paragraph" w:customStyle="1" w:styleId="xmsonormal">
    <w:name w:val="x_msonormal"/>
    <w:basedOn w:val="Normal"/>
    <w:rsid w:val="00234162"/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inha@elsevier.com" TargetMode="External"/><Relationship Id="rId5" Type="http://schemas.openxmlformats.org/officeDocument/2006/relationships/hyperlink" Target="http://www.sciencedir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Issue Publication</vt:lpstr>
    </vt:vector>
  </TitlesOfParts>
  <Company>Reed Elsevier</Company>
  <LinksUpToDate>false</LinksUpToDate>
  <CharactersWithSpaces>2592</CharactersWithSpaces>
  <SharedDoc>false</SharedDoc>
  <HLinks>
    <vt:vector size="12" baseType="variant">
      <vt:variant>
        <vt:i4>3014740</vt:i4>
      </vt:variant>
      <vt:variant>
        <vt:i4>3</vt:i4>
      </vt:variant>
      <vt:variant>
        <vt:i4>0</vt:i4>
      </vt:variant>
      <vt:variant>
        <vt:i4>5</vt:i4>
      </vt:variant>
      <vt:variant>
        <vt:lpwstr>mailto:t.sinha@elsevier.com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Issue Publication</dc:title>
  <dc:subject/>
  <dc:creator>Elsevier</dc:creator>
  <cp:keywords/>
  <dc:description/>
  <cp:lastModifiedBy>Hutchings, Kate (ELS-OXF)</cp:lastModifiedBy>
  <cp:revision>3</cp:revision>
  <dcterms:created xsi:type="dcterms:W3CDTF">2023-03-06T14:20:00Z</dcterms:created>
  <dcterms:modified xsi:type="dcterms:W3CDTF">2023-03-06T14:20:00Z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2023-02-27T11:58:53Z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fdd26d94-075f-4904-af59-180b71a9dcb3</vt:lpwstr>
  </property>
  <property fmtid="{D5CDD505-2E9C-101B-9397-08002B2CF9AE}" pid="8" name="MSIP_Label_549ac42a-3eb4-4074-b885-aea26bd6241e_ContentBits">
    <vt:lpwstr>0</vt:lpwstr>
  </property>
</Properties>
</file>